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Права, свободы и законные интересы недееспособных или не обладающих полной дееспособностью граждан защищают в суде их родители, усыновители, опекуны, попечители или иные лица, которым это право предоставлено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По делу, в котором должен участвовать гражданин, признанный в установленном порядке безвестно отсутствующим, в качестве его представителя выступает лицо, которому передано в доверительное управление имущество безвестно отсутствующего.</w:t>
      </w:r>
    </w:p>
    <w:p>
      <w:pPr>
        <w:spacing w:after="120"/>
        <w:ind w:firstLine="709"/>
      </w:pPr>
      <w:r>
        <w:rPr>
          <w:sz w:val="24"/>
        </w:rPr>
        <w:t xml:space="preserve">3. Лица, указанные в частях первой и второй настоящей статьи, имеют полномочия представителей в силу закона и совершают от имени представляемых ими лиц все процессуальные действия, право совершения которых принадлежит представляемым, с ограничениями, предусмотренными законом.</w:t>
      </w:r>
    </w:p>
    <w:p>
      <w:pPr>
        <w:spacing w:after="120"/>
        <w:ind w:firstLine="709"/>
      </w:pPr>
      <w:r>
        <w:rPr>
          <w:sz w:val="24"/>
        </w:rPr>
        <w:t xml:space="preserve">Требования, предусмотренные частью второй статьи 49 настоящего Кодекса, на законных представителей не распространяются.</w:t>
      </w:r>
    </w:p>
    <w:p>
      <w:pPr>
        <w:spacing w:after="120"/>
        <w:ind w:firstLine="709"/>
      </w:pPr>
      <w:r>
        <w:rPr>
          <w:sz w:val="24"/>
        </w:rPr>
        <w:t xml:space="preserve">Законные представители могут поручить ведение дела в суде другому лицу, избранному ими в качестве представителя, отвечающему требованиям, установленным статьей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52</dc:title>
  <dc:creator>АРБИТРАЖ! · arbi.ru</dc:creator>
  <cp:lastModifiedBy>АРБИТРАЖ!</cp:lastModifiedBy>
  <dcterms:created xsi:type="dcterms:W3CDTF">2026-10-22T16:45:07.299Z</dcterms:created>
</cp:coreProperties>
</file>