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61 ГПК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ущерб, причиненный имуществу в результате преступления</w:t>
      </w:r>
    </w:p>
    <w:p>
      <w:pPr>
        <w:spacing w:after="120"/>
        <w:ind w:firstLine="709"/>
      </w:pPr>
      <w:r>
        <w:rPr>
          <w:sz w:val="24"/>
        </w:rPr>
        <w:t xml:space="preserve">1. Обстоятельства, признанные судом общеизвестными, не нуждаются в доказывании.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судебным постановлением по ранее рассмотренному делу, обязательны для суда.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гражданского дела обстоятельства, установленные вступившим в законную силу решением арбитражного суда, не должны доказываться и не могут оспариваться лицами, если они участвовали в деле, которое было разрешено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4. 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Обстоятельства, подтвержденные нотариусом при совершении нотариального действия, не требуют доказывания, если подлинность нотариально оформленного документа не опровергнута в порядке, установленном статьей 186 настоящего Кодекса, или не установлено существенное нарушение порядка совершения нотариального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29.12.2014 N 457-ФЗ)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61</dc:title>
  <dc:creator>АРБИТРАЖ! · arbi.ru</dc:creator>
  <cp:lastModifiedBy>АРБИТРАЖ!</cp:lastModifiedBy>
  <dcterms:created xsi:type="dcterms:W3CDTF">2026-10-22T20:08:20.736Z</dcterms:created>
</cp:coreProperties>
</file>