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61 ГПК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ущерб, причиненный имуществу в результате преступления</w:t>
      </w:r>
    </w:p>
    <w:p>
      <w:pPr>
        <w:spacing w:after="120"/>
        <w:ind w:firstLine="709"/>
      </w:pPr>
      <w:r>
        <w:rPr>
          <w:sz w:val="24"/>
        </w:rPr>
        <w:t xml:space="preserve">1. Обстоятельства, признанные судом общеизвестными, не нуждаются в доказывании.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судебным постановлением по ранее рассмотренному делу, обязательны для суда.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гражданского дела обстоятельства, установленные вступившим в законную силу решением арбитражного суда, не должны доказываться и не могут оспариваться лицами, если они участвовали в деле, которое было разрешено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4. 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Обстоятельства, подтвержденные нотариусом при совершении нотариального действия, не требуют доказывания, если подлинность нотариально оформленного документа не опровергнута в порядке, установленном статьей 186 настоящего Кодекса, или не установлено существенное нарушение порядка совершения нотариального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29.12.2014 N 457-ФЗ)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61</dc:title>
  <dc:creator>АРБИТРАЖ! · arbi.ru</dc:creator>
  <cp:lastModifiedBy>АРБИТРАЖ!</cp:lastModifiedBy>
  <dcterms:created xsi:type="dcterms:W3CDTF">2026-10-22T19:05:14.768Z</dcterms:created>
</cp:coreProperties>
</file>