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обеспечении доказательств подается в суд, в котором рассматривается дело или в районе деятельности которого должны быть произведены процессуальные действия по обеспечению доказательств. В заявлении должны быть указаны содержание рассматриваемого дела; сведения о сторонах и месте их проживания или месте их нахождения; доказательства, которые необходимо обеспечить; обстоятельства, для подтверждения которых необходимы эти доказательства; причины, побудившие заявителя обратиться с просьбой об обеспечении доказательств.</w:t>
      </w:r>
    </w:p>
    <w:p>
      <w:pPr>
        <w:spacing w:after="120"/>
        <w:ind w:firstLine="709"/>
      </w:pPr>
      <w:r>
        <w:rPr>
          <w:sz w:val="24"/>
        </w:rPr>
        <w:t xml:space="preserve">2. На определение судьи об отказе в обеспечении доказательств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65</dc:title>
  <dc:creator>АРБИТРАЖ! · arbi.ru</dc:creator>
  <cp:lastModifiedBy>АРБИТРАЖ!</cp:lastModifiedBy>
  <dcterms:created xsi:type="dcterms:W3CDTF">2026-10-22T23:04:37.224Z</dcterms:created>
</cp:coreProperties>
</file>