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хранятся в суде, за исключением случаев, установленных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Вещественные доказательства, которые не могут быть доставлены в суд, хранятся по месту их нахождения или в ином определенном судом месте. Они должны быть осмотрены судом, подробно описаны, а в случае необходимости сфотографированы и опечатаны. Суд и хранитель принимают меры по сохранению вещественных доказательств в неизменном состоянии.</w:t>
      </w:r>
    </w:p>
    <w:p>
      <w:pPr>
        <w:spacing w:after="120"/>
        <w:ind w:firstLine="709"/>
      </w:pPr>
      <w:r>
        <w:rPr>
          <w:sz w:val="24"/>
        </w:rPr>
        <w:t xml:space="preserve">3. Расходы на хранение вещественных доказательств распределяются между сторонами в соответствии со статьей 98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74</dc:title>
  <dc:creator>АРБИТРАЖ! · arbi.ru</dc:creator>
  <cp:lastModifiedBy>АРБИТРАЖ!</cp:lastModifiedBy>
  <dcterms:created xsi:type="dcterms:W3CDTF">2026-10-22T22:33:31.134Z</dcterms:created>
</cp:coreProperties>
</file>