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79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79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назначением экспертизы по делу</w:t>
      </w:r>
    </w:p>
    <w:p>
      <w:pPr>
        <w:spacing w:after="120"/>
        <w:ind w:firstLine="709"/>
      </w:pPr>
      <w:r>
        <w:rPr>
          <w:sz w:val="24"/>
        </w:rPr>
        <w:t xml:space="preserve">- Заказчик хочет обязать подрядчика безвозмездно устранить недостатки работ по договору бытового подряда</w:t>
      </w:r>
    </w:p>
    <w:p>
      <w:pPr>
        <w:spacing w:after="120"/>
        <w:ind w:firstLine="709"/>
      </w:pPr>
      <w:r>
        <w:rPr>
          <w:sz w:val="24"/>
        </w:rPr>
        <w:t xml:space="preserve">1. 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</w:t>
      </w:r>
    </w:p>
    <w:p>
      <w:pPr>
        <w:spacing w:after="120"/>
        <w:ind w:firstLine="709"/>
      </w:pPr>
      <w:r>
        <w:rPr>
          <w:sz w:val="24"/>
        </w:rPr>
        <w:t xml:space="preserve">2. Каждая из сторон и другие лица, участвующие в деле, вправе представить суду вопросы, подлежащие разрешению при проведении экспертизы. Окончательный круг вопросов, по которым требуется заключение эксперта, определяется судом. Отклонение предложенных вопросов суд обязан мотивировать.</w:t>
      </w:r>
    </w:p>
    <w:p>
      <w:pPr>
        <w:spacing w:after="120"/>
        <w:ind w:firstLine="709"/>
      </w:pPr>
      <w:r>
        <w:rPr>
          <w:sz w:val="24"/>
        </w:rPr>
        <w:t xml:space="preserve">Стороны, другие лица, участвующие в деле, имеют право просить суд назначить проведение экспертизы в конкретном судебно-экспертном учреждении или поручить ее конкретному эксперту; заявлять отвод эксперту; формулировать вопросы для эксперта; знакомиться с определением суда о назначении экспертизы и со сформулированными в нем вопросами; знакомиться с заключением эксперта; ходатайствовать перед судом о назначении повторной, дополнительной, комплексной или комиссионной экспертизы.</w:t>
      </w:r>
    </w:p>
    <w:p>
      <w:pPr>
        <w:spacing w:after="120"/>
        <w:ind w:firstLine="709"/>
      </w:pPr>
      <w:r>
        <w:rPr>
          <w:sz w:val="24"/>
        </w:rPr>
        <w:t xml:space="preserve">3. При уклонении стороны от участия в экспертизе, непредставлении экспертам необходимых материалов и документов для исследования и в иных случаях, если по обстоятельствам дела и без участия этой стороны экспертизу провести невозможно, суд в зависимости от того, какая сторона уклоняется от экспертизы, а также какое для нее она имеет значение, вправе признать факт, для выяснения которого экспертиза была назначена, установленным или опровергнутым.</w:t>
      </w:r>
    </w:p>
    <w:p>
      <w:pPr>
        <w:spacing w:after="120"/>
        <w:ind w:firstLine="709"/>
      </w:pPr>
      <w:r>
        <w:rPr>
          <w:sz w:val="24"/>
        </w:rPr>
        <w:t xml:space="preserve">4. О назначении экспертизы или об отклонении ходатайства о назначении экспертизы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В случае, если ходатайство о назначении экспертизы заявлено стороной (сторонами) или другими лицами, участвующими в деле, суд выносит определение о назначении экспертизы после внесения заявившим соответствующее ходатайство лицом денежных сумм на счет, указанный в части первой статьи 96 настоящего Кодекса, за исключением случаев, предусмотренных частями второй и третьей статьи 96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Если в установленный судом срок на счет, указанный в части первой статьи 96 настоящего Кодекса, не были внесены денежные суммы, подлежащие выплате экспертам, суд вправе отклонить ходатайство о назначении экспертизы. В случае, если дело не может быть рассмотрено и решение принято на основании других представленных сторонами доказательств, суд вправе назначить экспертизу по своей инициативе.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22.07.2024 N 191-ФЗ)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79</dc:title>
  <dc:creator>АРБИТРАЖ! · arbi.ru</dc:creator>
  <cp:lastModifiedBy>АРБИТРАЖ!</cp:lastModifiedBy>
  <dcterms:created xsi:type="dcterms:W3CDTF">2026-10-22T16:47:20.236Z</dcterms:created>
</cp:coreProperties>
</file>