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79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подрядчика безвозмездно устранить недостатки работ по договору бытового подряда</w:t>
      </w:r>
    </w:p>
    <w:p>
      <w:pPr>
        <w:spacing w:after="120"/>
        <w:ind w:firstLine="709"/>
      </w:pPr>
      <w:r>
        <w:rPr>
          <w:sz w:val="24"/>
        </w:rPr>
        <w:t xml:space="preserve">1. 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</w:t>
      </w:r>
    </w:p>
    <w:p>
      <w:pPr>
        <w:spacing w:after="120"/>
        <w:ind w:firstLine="709"/>
      </w:pPr>
      <w:r>
        <w:rPr>
          <w:sz w:val="24"/>
        </w:rPr>
        <w:t xml:space="preserve">2. 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</w:t>
      </w:r>
    </w:p>
    <w:p>
      <w:pPr>
        <w:spacing w:after="120"/>
        <w:ind w:firstLine="709"/>
      </w:pPr>
      <w:r>
        <w:rPr>
          <w:sz w:val="24"/>
        </w:rPr>
        <w:t xml:space="preserve">Стороны, другие лица, участвующие в деле, имеют право просить суд назначить проведение экспертизы в конкретном судебно-экспертном учреждении или поручить ее конкретному эксперту; заявлять отвод эксперту; формулировать вопросы для эксперта; знакомиться с определением суда о назначении экспертизы и со сформулированными в нем вопросами; знакомиться с заключением эксперта; ходатайствовать перед судом о назначении повторной, дополнительной, комплексной или комиссионной экспертизы.</w:t>
      </w:r>
    </w:p>
    <w:p>
      <w:pPr>
        <w:spacing w:after="120"/>
        <w:ind w:firstLine="709"/>
      </w:pPr>
      <w:r>
        <w:rPr>
          <w:sz w:val="24"/>
        </w:rPr>
        <w:t xml:space="preserve">3. При уклонении стороны от участия в экспертизе, непредставлении экспертам необходимых материалов и документов для исследования и в иных случаях, если по обстоятельствам дела и без участия этой стороны экспертизу провести невозможно, суд в зависимости от того, какая сторона уклоняется от экспертизы, а также какое для нее она имеет значение, вправе признать факт, для выяснения которого экспертиза была назначена, установленным или опровергнутым.</w:t>
      </w:r>
    </w:p>
    <w:p>
      <w:pPr>
        <w:spacing w:after="120"/>
        <w:ind w:firstLine="709"/>
      </w:pPr>
      <w:r>
        <w:rPr>
          <w:sz w:val="24"/>
        </w:rPr>
        <w:t xml:space="preserve">4. О назначении экспертизы или об отклонении ходатайства о назначении экспертизы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случае, если ходатайство о назначении экспертизы заявлено стороной (сторонами) или другими лицами, участвующими в деле, суд выносит определение о назначении экспертизы после внесения заявившим соответствующее ходатайство лицом денежных сумм на счет, указанный в части первой статьи 96 настоящего Кодекса, за исключением случаев, предусмотренных частями второй и третьей статьи 96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Если в установленный судом срок на счет, указанный в части первой статьи 96 настоящего Кодекса, не были внесены денежные суммы, подлежащие выплате экспертам, суд вправе отклонить ходатайство о назначении экспертизы. В случае, если дело не может быть рассмотрено и решение принято на основании других представленных сторонами доказательств, суд вправе назначить экспертизу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22.07.2024 N 191-ФЗ)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79</dc:title>
  <dc:creator>АРБИТРАЖ! · arbi.ru</dc:creator>
  <cp:lastModifiedBy>АРБИТРАЖ!</cp:lastModifiedBy>
  <dcterms:created xsi:type="dcterms:W3CDTF">2026-10-22T19:07:57.545Z</dcterms:created>
</cp:coreProperties>
</file>