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Комиссионная экспертиза назначается судом для установления обстоятельств двумя или более экспертами в одной области знания.</w:t>
      </w:r>
    </w:p>
    <w:p>
      <w:pPr>
        <w:spacing w:after="120"/>
        <w:ind w:firstLine="709"/>
      </w:pPr>
      <w:r>
        <w:rPr>
          <w:sz w:val="24"/>
        </w:rPr>
        <w:t xml:space="preserve">2. Эксперты совещаются между собой и, придя к общему выводу, формулируют его и подписывают заключение.</w:t>
      </w:r>
    </w:p>
    <w:p>
      <w:pPr>
        <w:spacing w:after="120"/>
        <w:ind w:firstLine="709"/>
      </w:pPr>
      <w:r>
        <w:rPr>
          <w:sz w:val="24"/>
        </w:rPr>
        <w:t xml:space="preserve">Эксперт, не согласный с другим экспертом или другими экспертами, вправе дать отдельное заключение по всем или отдельным вопросам, вызвавшим разногласия.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83</dc:title>
  <dc:creator>АРБИТРАЖ! · arbi.ru</dc:creator>
  <cp:lastModifiedBy>АРБИТРАЖ!</cp:lastModifiedBy>
  <dcterms:created xsi:type="dcterms:W3CDTF">2026-10-22T14:06:33.879Z</dcterms:created>
</cp:coreProperties>
</file>