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84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1. Экспертиза проводится экспертами судебно-экспертных учреждений по поручению руководителей этих учреждений или иными экспертами, которым она поручена судом.</w:t>
      </w:r>
    </w:p>
    <w:p>
      <w:pPr>
        <w:spacing w:after="120"/>
        <w:ind w:firstLine="709"/>
      </w:pPr>
      <w:r>
        <w:rPr>
          <w:sz w:val="24"/>
        </w:rPr>
        <w:t xml:space="preserve">2. Экспертиза проводится в судебном заседании или вне заседания, если это необходимо по характеру исследований либо при невозможности или затруднении доставить материалы или документы для исследования в заседании.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вправе присутствовать при проведении экспертизы, за исключением случаев, если такое присутствие может помешать исследованию, совещанию экспертов и составлению заключения.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84</dc:title>
  <dc:creator>АРБИТРАЖ! · arbi.ru</dc:creator>
  <cp:lastModifiedBy>АРБИТРАЖ!</cp:lastModifiedBy>
  <dcterms:created xsi:type="dcterms:W3CDTF">2026-10-22T10:49:13.156Z</dcterms:created>
</cp:coreProperties>
</file>