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88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некоторых вопросах уплаты государственной пошлины при рассмотрении дел в судах см. Постановление Пленума Верховного Суда РФ от 23.12.2025 N 39.</w:t>
      </w:r>
    </w:p>
    <w:p>
      <w:pPr>
        <w:spacing w:after="120"/>
        <w:ind w:firstLine="709"/>
      </w:pPr>
      <w:r>
        <w:rPr>
          <w:sz w:val="24"/>
        </w:rPr>
        <w:t xml:space="preserve">1. Судебные расходы состоят из государственной пошлины и издержек , связанных с рассмотрением дела.</w:t>
      </w:r>
    </w:p>
    <w:p>
      <w:pPr>
        <w:spacing w:after="120"/>
        <w:ind w:firstLine="709"/>
      </w:pPr>
      <w:r>
        <w:rPr>
          <w:sz w:val="24"/>
        </w:rPr>
        <w:t xml:space="preserve">2. Размер и порядок уплаты государственной пошлины устанавливаются федеральными законами о налогах и сборах.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88</dc:title>
  <dc:creator>АРБИТРАЖ! · arbi.ru</dc:creator>
  <cp:lastModifiedBy>АРБИТРАЖ!</cp:lastModifiedBy>
  <dcterms:created xsi:type="dcterms:W3CDTF">2026-10-22T19:58:23.681Z</dcterms:created>
</cp:coreProperties>
</file>