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без движения, его возврате из-за неуплаты госпошлины как за подлежащий оценке имущественный иск</w:t>
      </w:r>
    </w:p>
    <w:p>
      <w:pPr>
        <w:spacing w:after="120"/>
        <w:ind w:firstLine="709"/>
      </w:pPr>
      <w:r>
        <w:rPr>
          <w:sz w:val="24"/>
        </w:rPr>
        <w:t xml:space="preserve">1. Цена иска определяется:</w:t>
      </w:r>
    </w:p>
    <w:p>
      <w:pPr>
        <w:spacing w:after="120"/>
        <w:ind w:firstLine="709"/>
      </w:pPr>
      <w:r>
        <w:rPr>
          <w:sz w:val="24"/>
        </w:rPr>
        <w:t xml:space="preserve">1) по искам о взыскании денежных средств, исходя из взыскиваемой денежной суммы;</w:t>
      </w:r>
    </w:p>
    <w:p>
      <w:pPr>
        <w:spacing w:after="120"/>
        <w:ind w:firstLine="709"/>
      </w:pPr>
      <w:r>
        <w:rPr>
          <w:sz w:val="24"/>
        </w:rPr>
        <w:t xml:space="preserve">2) по искам об истребовании имущества, исходя из стоимости истребуемого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3) по искам о взыскании алиментов, исходя из совокупности платежей за год;</w:t>
      </w:r>
    </w:p>
    <w:p>
      <w:pPr>
        <w:spacing w:after="120"/>
        <w:ind w:firstLine="709"/>
      </w:pPr>
      <w:r>
        <w:rPr>
          <w:sz w:val="24"/>
        </w:rPr>
        <w:t xml:space="preserve">4) по искам о срочных платежах и выдачах, исходя из совокупности всех платежей и выдач,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5) по искам о бессрочных или пожизненных платежах и выдачах, исходя из совокупности платежей и выдач за три года;</w:t>
      </w:r>
    </w:p>
    <w:p>
      <w:pPr>
        <w:spacing w:after="120"/>
        <w:ind w:firstLine="709"/>
      </w:pPr>
      <w:r>
        <w:rPr>
          <w:sz w:val="24"/>
        </w:rPr>
        <w:t xml:space="preserve">6) по искам об уменьшении или увеличении платежей и выдач, исходя из суммы, на которую уменьшаются или увеличиваются платежи и выдачи,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7) по искам о прекращении платежей и выдач, исходя из совокупности оставшихся платежей и выдач,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8) по искам о досрочном расторжении договора имущественного найма, исходя из совокупности платежей за пользование имуществом в течение оставшегося срока действия договора,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9) по искам о праве собственности на объект недвижимого имущества, принадлежащий гражданину на праве собственности, исходя из стоимости объекта, но не ниже его инвентаризационной оценки или при отсутствии ее - не ниже оценки стоимости объекта по договору страхования, на объект недвижимого имущества, принадлежащего организации, - не ниже балансовой оценки объекта;</w:t>
      </w:r>
    </w:p>
    <w:p>
      <w:pPr>
        <w:spacing w:after="120"/>
        <w:ind w:firstLine="709"/>
      </w:pPr>
      <w:r>
        <w:rPr>
          <w:sz w:val="24"/>
        </w:rPr>
        <w:t xml:space="preserve">10) по искам, состоящим из нескольких самостоятельных требований, исходя из каждого требования в отдельности.</w:t>
      </w:r>
    </w:p>
    <w:p>
      <w:pPr>
        <w:spacing w:after="120"/>
        <w:ind w:firstLine="709"/>
      </w:pPr>
      <w:r>
        <w:rPr>
          <w:sz w:val="24"/>
        </w:rPr>
        <w:t xml:space="preserve">2. Цена иска указывается истцом. В случае явного несоответствия указанной цены действительной стоимости истребуемого имущества цену иска определяет судья при принятии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91</dc:title>
  <dc:creator>АРБИТРАЖ! · arbi.ru</dc:creator>
  <cp:lastModifiedBy>АРБИТРАЖ!</cp:lastModifiedBy>
  <dcterms:created xsi:type="dcterms:W3CDTF">2026-10-22T19:35:44.703Z</dcterms:created>
</cp:coreProperties>
</file>