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92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7. Судебные расходы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02.11.2004 N 127-ФЗ)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Основания и порядок доплаты государственной пошлины устанавливаются в соответствии с законодательством Российской Федерации о налогах и сборах.</w:t>
      </w:r>
    </w:p>
    <w:p>
      <w:pPr>
        <w:spacing w:after="120"/>
        <w:ind w:firstLine="709"/>
      </w:pPr>
      <w:r>
        <w:rPr>
          <w:sz w:val="24"/>
        </w:rPr>
        <w:t xml:space="preserve">2. При увеличении размера исковых требований рассмотрение дела продолжается после предоставления истцом доказательств уплаты государственной пошлины или разрешения судом вопроса об отсрочке, о рассрочке уплаты государственной пошлины или об освобождении от уплаты государственной пошлины, уменьшении ее размера в соответствии со статьей 90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92</dc:title>
  <dc:creator>АРБИТРАЖ! · arbi.ru</dc:creator>
  <cp:lastModifiedBy>АРБИТРАЖ!</cp:lastModifiedBy>
  <dcterms:created xsi:type="dcterms:W3CDTF">2026-10-22T16:45:24.991Z</dcterms:created>
</cp:coreProperties>
</file>