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издержкам, связанным с рассмотрением дела, относятся:</w:t>
      </w:r>
    </w:p>
    <w:p>
      <w:pPr>
        <w:spacing w:after="120"/>
        <w:ind w:firstLine="709"/>
      </w:pPr>
      <w:r>
        <w:rPr>
          <w:sz w:val="24"/>
        </w:rPr>
        <w:t xml:space="preserve">суммы, подлежащие выплате свидетелям, экспертам, специалистам и переводчикам;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услуг переводчика, понесенные иностранными гражданами и лицами без гражданства, если иное не предусмотрено международным договором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расходы на проезд и проживание сторон и третьих лиц, понесенные ими в связи с явкой в суд;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услуг представителей;</w:t>
      </w:r>
    </w:p>
    <w:p>
      <w:pPr>
        <w:spacing w:after="120"/>
        <w:ind w:firstLine="709"/>
      </w:pPr>
      <w:r>
        <w:rPr>
          <w:sz w:val="24"/>
        </w:rPr>
        <w:t xml:space="preserve">расходы на производство осмотра на месте;</w:t>
      </w:r>
    </w:p>
    <w:p>
      <w:pPr>
        <w:spacing w:after="120"/>
        <w:ind w:firstLine="709"/>
      </w:pPr>
      <w:r>
        <w:rPr>
          <w:sz w:val="24"/>
        </w:rPr>
        <w:t xml:space="preserve">компенсация за фактическую потерю времени в соответствии со статьей 99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связанные с рассмотрением дела почтовые расходы, понесенные сторонами;</w:t>
      </w:r>
    </w:p>
    <w:p>
      <w:pPr>
        <w:spacing w:after="120"/>
        <w:ind w:firstLine="709"/>
      </w:pPr>
      <w:r>
        <w:rPr>
          <w:sz w:val="24"/>
        </w:rPr>
        <w:t xml:space="preserve">другие признанные судом необходимыми расходы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94</dc:title>
  <dc:creator>АРБИТРАЖ! · arbi.ru</dc:creator>
  <cp:lastModifiedBy>АРБИТРАЖ!</cp:lastModifiedBy>
  <dcterms:created xsi:type="dcterms:W3CDTF">2026-10-22T20:14:11.414Z</dcterms:created>
</cp:coreProperties>
</file>