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98 см. Постановление КС РФ от 20.10.2026 N 60-П.</w:t>
      </w:r>
    </w:p>
    <w:p>
      <w:pPr>
        <w:spacing w:after="120"/>
        <w:ind w:firstLine="709"/>
      </w:pPr>
      <w:r>
        <w:rPr>
          <w:sz w:val="24"/>
        </w:rPr>
        <w:t xml:space="preserve">1.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</w:t>
      </w:r>
    </w:p>
    <w:p>
      <w:pPr>
        <w:spacing w:after="120"/>
        <w:ind w:firstLine="709"/>
      </w:pPr>
      <w:r>
        <w:rPr>
          <w:sz w:val="24"/>
        </w:rPr>
        <w:t xml:space="preserve">2. Правила, изложенные в части первой настоящей статьи, относятся также к распределению судебных расходов, понесенных сторонами в связи с ведением дела в апелляционной, кассационной и надзорной инстанциях.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25.11.2008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суд вышестоящей инстанции, не передавая дело на новое рассмотрение, изменит состоявшееся решение суда нижестоящей инстанции или примет новое решение, он соответственно изменяет распределение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Судебные издержки, понесенные третьими лицами, не заявляющими самостоятельных требований относительно предмета спора, участвовавшими в деле на стороне, в пользу которой принят судебный акт по делу, могут быть возмещены им, если их фактическое поведение как участников судебного процесса способствовало принятию данного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 Если третье лицо, не заявляющее самостоятельных требований относительно предмета спора, реализовало право на обжалование судебного акта и его жалоба была оставлена без удовлетворения, то судебные издержки, понесенные лицами, участвующими в деле, в связи с рассмотрением данной жалобы, могут быть взысканы с этого третьего лица.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6. В случае неисполнения стороной или сторонами обязанности, предусмотренной частью первой статьи 96 настоящего Кодекса, если в дальнейшем они не произвели оплату экспертизы или оплатили ее не полностью, денежные суммы в счет выплаты вознаграждения за проведение экспертизы, а также возмещения фактических расходов эксперта, судебно-экспертного учреждения, понесенных в связи с проведением экспертизы, явкой в суд для участия в судебном заседании, подлежат взысканию с одной стороны или с обеих сторон и распределяются между ними в порядке, установленном частью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14.07.2022 N 318-ФЗ)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98</dc:title>
  <dc:creator>АРБИТРАЖ! · arbi.ru</dc:creator>
  <cp:lastModifiedBy>АРБИТРАЖ!</cp:lastModifiedBy>
  <dcterms:created xsi:type="dcterms:W3CDTF">2026-10-22T20:09:32.996Z</dcterms:created>
</cp:coreProperties>
</file>