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106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8. Судебные штрафы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течение десяти дней со дня получения копии определения суда о наложении судебного штрафа лицо, на которое наложен штраф, может обратиться в суд, наложивший штраф, с заявлением о сложении или об уменьшении штрафа. Это заявление рассматривается в судебном заседании в течение десяти дней. Лицо, на которое наложен штраф, извещается о времени и месте судебного заседания, однако его неявка не является препятствием к рассмотрению заявления.</w:t>
      </w:r>
    </w:p>
    <w:p>
      <w:pPr>
        <w:spacing w:after="120"/>
        <w:ind w:firstLine="709"/>
      </w:pPr>
      <w:r>
        <w:rPr>
          <w:sz w:val="24"/>
        </w:rPr>
        <w:t xml:space="preserve">2. На определение суда об отказе сложить судебный штраф или уменьшить его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106</dc:title>
  <dc:creator>АРБИТРАЖ! · arbi.ru</dc:creator>
  <cp:lastModifiedBy>АРБИТРАЖ!</cp:lastModifiedBy>
  <dcterms:created xsi:type="dcterms:W3CDTF">2026-10-22T14:06:41.493Z</dcterms:created>
</cp:coreProperties>
</file>