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109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9. Процессуальные сроки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Право на совершение процессуальных действий погашается с истечением установленного федеральным законом или назначенного судом процессуального срока.</w:t>
      </w:r>
    </w:p>
    <w:p>
      <w:pPr>
        <w:spacing w:after="120"/>
        <w:ind w:firstLine="709"/>
      </w:pPr>
      <w:r>
        <w:rPr>
          <w:sz w:val="24"/>
        </w:rPr>
        <w:t xml:space="preserve">2. Поданные по истечении процессуальных сроков жалобы и документы, если не заявлено ходатайство о восстановлении пропущенных процессуальных сроков, не рассматриваются судом и возвращаются лицу, которым они были поданы.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109</dc:title>
  <dc:creator>АРБИТРАЖ! · arbi.ru</dc:creator>
  <cp:lastModifiedBy>АРБИТРАЖ!</cp:lastModifiedBy>
  <dcterms:created xsi:type="dcterms:W3CDTF">2026-10-22T21:57:52.424Z</dcterms:created>
</cp:coreProperties>
</file>