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судебных повестках и иных судебных извещениях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адрес суда;</w:t>
      </w:r>
    </w:p>
    <w:p>
      <w:pPr>
        <w:spacing w:after="120"/>
        <w:ind w:firstLine="709"/>
      </w:pPr>
      <w:r>
        <w:rPr>
          <w:sz w:val="24"/>
        </w:rPr>
        <w:t xml:space="preserve">2) указание времени и места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адресата - лица, извещаемого или вызываемого в суд;</w:t>
      </w:r>
    </w:p>
    <w:p>
      <w:pPr>
        <w:spacing w:after="120"/>
        <w:ind w:firstLine="709"/>
      </w:pPr>
      <w:r>
        <w:rPr>
          <w:sz w:val="24"/>
        </w:rPr>
        <w:t xml:space="preserve">4) указание, в качестве кого извещается или вызывается адресат;</w:t>
      </w:r>
    </w:p>
    <w:p>
      <w:pPr>
        <w:spacing w:after="120"/>
        <w:ind w:firstLine="709"/>
      </w:pPr>
      <w:r>
        <w:rPr>
          <w:sz w:val="24"/>
        </w:rPr>
        <w:t xml:space="preserve">5) наименование дела, по которому осуществляется извещение или вызов адресата.</w:t>
      </w:r>
    </w:p>
    <w:p>
      <w:pPr>
        <w:spacing w:after="120"/>
        <w:ind w:firstLine="709"/>
      </w:pPr>
      <w:r>
        <w:rPr>
          <w:sz w:val="24"/>
        </w:rPr>
        <w:t xml:space="preserve">2. В судебных повестках или иных судебных извещениях, адресованных лицам, участвующим в деле, предлагается представить в суд все имеющиеся у них доказательства по делу, а также указывается на последствия непредставления доказательств и неявки в суд извещаемых или вызываемых лиц, разъясняется обязанность сообщить суду причины неявки.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2026 года. - Федеральный закон от 01.04.2025 N 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114</dc:title>
  <dc:creator>АРБИТРАЖ! · arbi.ru</dc:creator>
  <cp:lastModifiedBy>АРБИТРАЖ!</cp:lastModifiedBy>
  <dcterms:created xsi:type="dcterms:W3CDTF">2026-10-23T00:42:39.485Z</dcterms:created>
</cp:coreProperties>
</file>