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123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11. Судебный приказ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 вынесении судебного приказа подается в суд по общим правилам подсудности, установленным в настоящем Кодексе .</w:t>
      </w:r>
    </w:p>
    <w:p>
      <w:pPr>
        <w:spacing w:after="120"/>
        <w:ind w:firstLine="709"/>
      </w:pPr>
      <w:r>
        <w:rPr>
          <w:sz w:val="24"/>
        </w:rPr>
        <w:t xml:space="preserve">2. Заявление о вынесении судебного приказа оплачивается государственной пошлиной в размере, установленном федеральным законом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123</dc:title>
  <dc:creator>АРБИТРАЖ! · arbi.ru</dc:creator>
  <cp:lastModifiedBy>АРБИТРАЖ!</cp:lastModifiedBy>
  <dcterms:created xsi:type="dcterms:W3CDTF">2026-10-22T23:58:52.339Z</dcterms:created>
</cp:coreProperties>
</file>