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11. Судебный приказ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судебном приказе указываются:</w:t>
      </w:r>
    </w:p>
    <w:p>
      <w:pPr>
        <w:spacing w:after="120"/>
        <w:ind w:firstLine="709"/>
      </w:pPr>
      <w:r>
        <w:rPr>
          <w:sz w:val="24"/>
        </w:rPr>
        <w:t xml:space="preserve">1) номер дела и дата вынесения приказа;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наименование суда, фамилия и инициалы судьи, вынесшего приказ;</w:t>
      </w:r>
    </w:p>
    <w:p>
      <w:pPr>
        <w:spacing w:after="120"/>
        <w:ind w:firstLine="709"/>
      </w:pPr>
      <w:r>
        <w:rPr>
          <w:sz w:val="24"/>
        </w:rPr>
        <w:t xml:space="preserve">3) сведения о взыскателе: для гражданина-взыскателя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взыскателя, являющегося юридическим лицом, - наименование, адрес, идентификационный номер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сведения о должнике, содержащиеся в заявлении о вынесении судебного приказа: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организации-должника - наименование, адрес, идентификационный номер налогоплательщика и основной государственный регистрационный номер;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закон, на основании которого удовлетворено требование;</w:t>
      </w:r>
    </w:p>
    <w:p>
      <w:pPr>
        <w:spacing w:after="120"/>
        <w:ind w:firstLine="709"/>
      </w:pPr>
      <w:r>
        <w:rPr>
          <w:sz w:val="24"/>
        </w:rPr>
        <w:t xml:space="preserve">6) размер денежных сумм, подлежащих взысканию, или обозначение движимого имущества, подлежащего истребованию, с указанием его стоимости;</w:t>
      </w:r>
    </w:p>
    <w:p>
      <w:pPr>
        <w:spacing w:after="120"/>
        <w:ind w:firstLine="709"/>
      </w:pPr>
      <w:r>
        <w:rPr>
          <w:sz w:val="24"/>
        </w:rPr>
        <w:t xml:space="preserve">7) размер неустойки, если ее взыскание предусмотрено федеральным законом или договором, а также размер пеней, если таковые причитаются;</w:t>
      </w:r>
    </w:p>
    <w:p>
      <w:pPr>
        <w:spacing w:after="120"/>
        <w:ind w:firstLine="709"/>
      </w:pPr>
      <w:r>
        <w:rPr>
          <w:sz w:val="24"/>
        </w:rPr>
        <w:t xml:space="preserve">8) сумма государственной пошлины, подлежащая взысканию с должника в пользу взыскателя или в доход соответствующего бюджета;</w:t>
      </w:r>
    </w:p>
    <w:p>
      <w:pPr>
        <w:spacing w:after="120"/>
        <w:ind w:firstLine="709"/>
      </w:pPr>
      <w:r>
        <w:rPr>
          <w:sz w:val="24"/>
        </w:rPr>
        <w:t xml:space="preserve">9) реквизиты банковского счета взыскателя, на который должны быть перечислены средства, подлежащие взысканию, в случае, если обращение взыскания производится на средства бюджетов бюджетной системы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27.12.2005 N 197-ФЗ)</w:t>
      </w:r>
    </w:p>
    <w:p>
      <w:pPr>
        <w:spacing w:after="120"/>
        <w:ind w:firstLine="709"/>
      </w:pPr>
      <w:r>
        <w:rPr>
          <w:sz w:val="24"/>
        </w:rPr>
        <w:t xml:space="preserve">10) период, за который образовалась взыскиваемая задолженность по обязательствам, предусматривающим исполнение по частям или в виде периодических платежей.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23.06.2014 N 161-ФЗ)</w:t>
      </w:r>
    </w:p>
    <w:p>
      <w:pPr>
        <w:spacing w:after="120"/>
        <w:ind w:firstLine="709"/>
      </w:pPr>
      <w:r>
        <w:rPr>
          <w:sz w:val="24"/>
        </w:rPr>
        <w:t xml:space="preserve">2. В судебном приказе о взыскании алиментов на несовершеннолетних детей кроме сведений, предусмотренных пунктами 1 - 5 части первой настоящей статьи, указываются место работы должника, имя и дата рождения каждого ребенка, на содержание которых присуждены алименты, размер платежей, взыскиваемых ежемесячно с должника, и срок их взыскания.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Судебный приказ составляется на специальном бланке в двух экземплярах, которые подписываются судьей. Один экземпляр судебного приказа остается в производстве суда. Для должника изготавливается копия судебного приказа.</w:t>
      </w:r>
    </w:p>
    <w:p>
      <w:pPr>
        <w:spacing w:after="120"/>
        <w:ind w:firstLine="709"/>
      </w:pPr>
      <w:r>
        <w:rPr>
          <w:sz w:val="24"/>
        </w:rPr>
        <w:t xml:space="preserve">Судебный приказ может быть выполнен в форме электронного документа, подписанного усиленной квалифицированной электронной подписью, и в двух экземплярах на бумажном носителе. Экземпляры судебного приказа, выполненные на бумажном носителе, составляются на специальном бланке и подписываются судьей.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30.12.2021 N 440-ФЗ)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127</dc:title>
  <dc:creator>АРБИТРАЖ! · arbi.ru</dc:creator>
  <cp:lastModifiedBy>АРБИТРАЖ!</cp:lastModifiedBy>
  <dcterms:created xsi:type="dcterms:W3CDTF">2026-10-22T23:38:38.896Z</dcterms:created>
</cp:coreProperties>
</file>