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131 ГПК РФ</w:t>
      </w:r>
    </w:p>
    <w:p>
      <w:pPr>
        <w:spacing w:after="120"/>
        <w:ind w:firstLine="709"/>
      </w:pPr>
      <w:r>
        <w:rPr>
          <w:sz w:val="24"/>
        </w:rPr>
        <w:t xml:space="preserve">- Истец не согласен с оставлением иска без движения</w:t>
      </w:r>
    </w:p>
    <w:p>
      <w:pPr>
        <w:spacing w:after="120"/>
        <w:ind w:firstLine="709"/>
      </w:pPr>
      <w:r>
        <w:rPr>
          <w:sz w:val="24"/>
        </w:rPr>
        <w:t xml:space="preserve">1. Исковое заявление подается в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исковом заявлении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сведения об истце: для гражданина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 - наименование, адрес, идентификационный номер налогоплательщика; если заявление подается представителем, - также фамилия, имя, отчество (при наличии) или наименование представителя, адрес для направления судебных повесток и иных судебных извещений, один из идентификаторов представителя (для гражданина);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об ответчике: для гражданина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номер. В случае, если истцу неизвестны дата и место рождения ответчика, один из идентификаторов ответчика,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дел. В случае, если истцу по иску о взыскании задолженности по оплате помещения, машино-места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 неизвестны не только вышеуказанные сведения об ответчике, но и фамилия, имя, отчество (при наличии) ответчика, соответствующий истец в исковом заявлении вправе указать об этом и такая информация вместе с вышеуказанными сведениями об ответчике, неизвестными истцу, предоставляется суду указанными в настоящем пункте органами, а также организацией, уполномоченной на предоставление сведений из Единого государственного реестра недвижимости, в порядке, установленном федеральным законом. В указанных случаях срок принятия искового заявления к производству суда, предусмотренный частью первой статьи 133 настоящего Кодекса, исчисляется со дня получения судом такой информации;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21.12.2021 N 417-ФЗ , от 28.12.2022 N 569-ФЗ , от 18.03.2023 N 80-ФЗ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чем заключается нарушение либо угроза нарушения прав, свобод или законных интересов истца и его требования;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на которых истец основывает свои требования, и доказательства, подтверждающие эти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6) цена иска, если он подлежит оценке, а также расчет взыскиваемых или оспариваемых денежных сумм;</w:t>
      </w:r>
    </w:p>
    <w:p>
      <w:pPr>
        <w:spacing w:after="120"/>
        <w:ind w:firstLine="709"/>
      </w:pPr>
      <w:r>
        <w:rPr>
          <w:sz w:val="24"/>
        </w:rPr>
        <w:t xml:space="preserve">7) сведения о соблюдении досудебного порядка обращения к ответчику, если это установлено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сведения о предпринятых стороной (сторонами) действиях, направленных на примирение, если такие действия предпринимались;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8)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могут быть указаны номера телефонов, факсов, адреса электронной почты истца, его представителя, ответчика, иные сведения, имеющие значение для рассмотрения и разрешения дела, а также изложены ходатайства истца.</w:t>
      </w:r>
    </w:p>
    <w:p>
      <w:pPr>
        <w:spacing w:after="120"/>
        <w:ind w:firstLine="709"/>
      </w:pPr>
      <w:r>
        <w:rPr>
          <w:sz w:val="24"/>
        </w:rPr>
        <w:t xml:space="preserve">3. В исковом заявлении, предъявляемом прокурором в защиту интересов Российской Федерации, субъектов Российской Федерации, муниципальных образований или в защиту прав, свобод и законных интересов неопределенного круга лиц, должно быть указано, в чем конкретно заключаются их интересы, какое право нарушено, а также должна содержаться ссылка на закон или иной нормативный правовой акт, предусматривающие способы защиты этих интересов.</w:t>
      </w:r>
    </w:p>
    <w:p>
      <w:pPr>
        <w:spacing w:after="120"/>
        <w:ind w:firstLine="709"/>
      </w:pPr>
      <w:r>
        <w:rPr>
          <w:sz w:val="24"/>
        </w:rPr>
        <w:t xml:space="preserve">В случае обращения прокурора в защиту законных интересов гражданина в заявлении должно содержаться обоснование невозможности предъявления иска самим гражданином либо указание на обращение гражданина к прокурору.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05.04.2009 N 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Исковое заявление подписывается истцом или его представителем при наличии у него полномочий на подписание заявления и предъявление его в суд.</w:t>
      </w:r>
    </w:p>
    <w:p>
      <w:pPr>
        <w:spacing w:after="120"/>
        <w:ind w:firstLine="709"/>
      </w:pPr>
      <w:r>
        <w:rPr>
          <w:sz w:val="24"/>
        </w:rPr>
        <w:t xml:space="preserve">Исковое заявление, подаваемое в электронном виде, содержащее ходатайство об обеспечении иска,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131</dc:title>
  <dc:creator>АРБИТРАЖ! · arbi.ru</dc:creator>
  <cp:lastModifiedBy>АРБИТРАЖ!</cp:lastModifiedBy>
  <dcterms:created xsi:type="dcterms:W3CDTF">2026-10-23T00:43:37.462Z</dcterms:created>
</cp:coreProperties>
</file>