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обеспечительные меры</w:t>
      </w:r>
    </w:p>
    <w:p>
      <w:pPr>
        <w:spacing w:after="120"/>
        <w:ind w:firstLine="709"/>
      </w:pPr>
      <w:r>
        <w:rPr>
          <w:sz w:val="24"/>
        </w:rPr>
        <w:t xml:space="preserve">Заявление об обеспечении иска рассматривается в день его поступления в суд без извещения ответчика, других лиц, участвующих в деле. О принятии мер по обеспечению иска судья или суд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141</dc:title>
  <dc:creator>АРБИТРАЖ! · arbi.ru</dc:creator>
  <cp:lastModifiedBy>АРБИТРАЖ!</cp:lastModifiedBy>
  <dcterms:created xsi:type="dcterms:W3CDTF">2026-10-22T17:21:17.442Z</dcterms:created>
</cp:coreProperties>
</file>