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Обеспечение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Определение суда об обеспечении иска приводится в исполнение немедленно в порядке , установленном для исполнения судебных постановлений.</w:t>
      </w:r>
    </w:p>
    <w:p>
      <w:pPr>
        <w:spacing w:after="120"/>
        <w:ind w:firstLine="709"/>
      </w:pPr>
      <w:r>
        <w:rPr>
          <w:sz w:val="24"/>
        </w:rPr>
        <w:t xml:space="preserve">2. На основании определения суда об обеспечении иска судья или суд выдает истцу исполнительный лист и направляет ответчику копию определения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142</dc:title>
  <dc:creator>АРБИТРАЖ! · arbi.ru</dc:creator>
  <cp:lastModifiedBy>АРБИТРАЖ!</cp:lastModifiedBy>
  <dcterms:created xsi:type="dcterms:W3CDTF">2026-10-22T19:05:58.384Z</dcterms:created>
</cp:coreProperties>
</file>