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145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13. Обеспечение иска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 все определения суда об обеспечении иска может быть подана частная жалоба.</w:t>
      </w:r>
    </w:p>
    <w:p>
      <w:pPr>
        <w:spacing w:after="120"/>
        <w:ind w:firstLine="709"/>
      </w:pPr>
      <w:r>
        <w:rPr>
          <w:sz w:val="24"/>
        </w:rPr>
        <w:t xml:space="preserve">2. В случае, если определение суда об обеспечении иска было вынесено без извещения лица, подавшего жалобу, срок подачи жалобы исчисляется со дня, когда такому лицу стало известно это определение.</w:t>
      </w:r>
    </w:p>
    <w:p>
      <w:pPr>
        <w:spacing w:after="120"/>
        <w:ind w:firstLine="709"/>
      </w:pPr>
      <w:r>
        <w:rPr>
          <w:sz w:val="24"/>
        </w:rPr>
        <w:t xml:space="preserve">3. Подача частной жалобы на определение суда об обеспечении иска не приостанавливает исполнение этого определения. Подача частной жалобы на определение суда об отмене обеспечения иска или о замене одних мер по обеспечению иска другими мерами по обеспечению иска приостанавливает исполнение определения суда.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145</dc:title>
  <dc:creator>АРБИТРАЖ! · arbi.ru</dc:creator>
  <cp:lastModifiedBy>АРБИТРАЖ!</cp:lastModifiedBy>
  <dcterms:created xsi:type="dcterms:W3CDTF">2026-10-23T18:24:42.393Z</dcterms:created>
</cp:coreProperties>
</file>