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Обеспечение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 все определения суда об обеспечении иска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определение суда об обеспечении иска было вынесено без извещения лица, подавшего жалобу, срок подачи жалобы исчисляется со дня, когда такому лицу стало известно это определение.</w:t>
      </w:r>
    </w:p>
    <w:p>
      <w:pPr>
        <w:spacing w:after="120"/>
        <w:ind w:firstLine="709"/>
      </w:pPr>
      <w:r>
        <w:rPr>
          <w:sz w:val="24"/>
        </w:rPr>
        <w:t xml:space="preserve">3. Подача частной жалобы на определение суда об обеспечении иска не приостанавливает исполнение этого определения. Подача частной жалобы на определение суда об отмене обеспечения иска или о замене одних мер по обеспечению иска другими мерами по обеспечению иска приостанавливает исполнение определения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145</dc:title>
  <dc:creator>АРБИТРАЖ! · arbi.ru</dc:creator>
  <cp:lastModifiedBy>АРБИТРАЖ!</cp:lastModifiedBy>
  <dcterms:created xsi:type="dcterms:W3CDTF">2026-10-22T23:37:51.692Z</dcterms:created>
</cp:coreProperties>
</file>