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151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14. Подготовка дела к судебному разбирательству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Истец вправе соединить в одном заявлении несколько исковых требований, связанных между собой, за исключением случаев, установленных настоящим Кодексом 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05.05.2014 N 126-ФЗ)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Судья выделяет одно или несколько соединенных исковых требований в отдельное производство, если признает, что раздельное рассмотрение требований будет целесообразно.</w:t>
      </w:r>
    </w:p>
    <w:p>
      <w:pPr>
        <w:spacing w:after="120"/>
        <w:ind w:firstLine="709"/>
      </w:pPr>
      <w:r>
        <w:rPr>
          <w:sz w:val="24"/>
        </w:rPr>
        <w:t xml:space="preserve">3. При предъявлении исковых требований несколькими истцами или к нескольким ответчикам судья вправе выделить одно или несколько требований в отдельное производство, если признает, что раздельное рассмотрение требований будет способствовать правильному и своевременному рассмотрению и разрешению дела.</w:t>
      </w:r>
    </w:p>
    <w:p>
      <w:pPr>
        <w:spacing w:after="120"/>
        <w:ind w:firstLine="709"/>
      </w:pPr>
      <w:r>
        <w:rPr>
          <w:sz w:val="24"/>
        </w:rPr>
        <w:t xml:space="preserve">4. Судья, установив, что в производстве данного суда имеется несколько однородных дел, в которых участвуют одни и те же стороны, либо несколько дел по искам одного истца к различным ответчикам или различных истцов к одному ответчику, с учетом мнения сторон вправе объединить эти дела в одно производство для совместного рассмотрения и разрешения, если признает, что такое объединение будет способствовать правильному и своевременному рассмотрению и разрешению дела.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151</dc:title>
  <dc:creator>АРБИТРАЖ! · arbi.ru</dc:creator>
  <cp:lastModifiedBy>АРБИТРАЖ!</cp:lastModifiedBy>
  <dcterms:created xsi:type="dcterms:W3CDTF">2026-10-22T20:08:39.076Z</dcterms:created>
</cp:coreProperties>
</file>