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может быть заключено сторонами на любой стадии гражданского процесса и при исполнении судебного акта. Третьи лица, заявляющие самостоятельные требования относительно предмета спора, вправе участвовать в заключении мирового соглашения в качестве стороны. Третьи лица, не заявляющие самостоятельных требований относительно предмета спора, вправе выступать участниками мирового соглашения в случаях, если они приобретают права либо на них возлагаются обязанности по условиям данного соглашения.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не может нарушать права и законные интересы других лиц и противоречить закону.</w:t>
      </w:r>
    </w:p>
    <w:p>
      <w:pPr>
        <w:spacing w:after="120"/>
        <w:ind w:firstLine="709"/>
      </w:pPr>
      <w:r>
        <w:rPr>
          <w:sz w:val="24"/>
        </w:rPr>
        <w:t xml:space="preserve">3. Мировое соглашение утверждается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153.8</dc:title>
  <dc:creator>АРБИТРАЖ! · arbi.ru</dc:creator>
  <cp:lastModifiedBy>АРБИТРАЖ!</cp:lastModifiedBy>
  <dcterms:created xsi:type="dcterms:W3CDTF">2026-10-22T16:44:14.886Z</dcterms:created>
</cp:coreProperties>
</file>