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излагается в письменной форме председательствующим или одним из судей.</w:t>
      </w:r>
    </w:p>
    <w:p>
      <w:pPr>
        <w:spacing w:after="120"/>
        <w:ind w:firstLine="709"/>
      </w:pPr>
      <w:r>
        <w:rPr>
          <w:sz w:val="24"/>
        </w:rPr>
        <w:t xml:space="preserve">Решение суда может быть выполнено в форме электронного документа. При выполнении решения в форме электронного документа дополнительно выполняется экземпляр данного решения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Решение суда подписывается судьей при единоличном рассмотрении им дела или всеми судьями при коллегиальном рассмотрении дела, в том числе судьей, оставшимся при особом мнении. Исправления, внесенные в решение суда, должны быть удостоверены подписями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197</dc:title>
  <dc:creator>АРБИТРАЖ! · arbi.ru</dc:creator>
  <cp:lastModifiedBy>АРБИТРАЖ!</cp:lastModifiedBy>
  <dcterms:created xsi:type="dcterms:W3CDTF">2026-10-22T16:43:43.597Z</dcterms:created>
</cp:coreProperties>
</file>