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203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203 ГПК РФ</w:t>
      </w:r>
    </w:p>
    <w:p>
      <w:pPr>
        <w:spacing w:after="120"/>
        <w:ind w:firstLine="709"/>
      </w:pPr>
      <w:r>
        <w:rPr>
          <w:sz w:val="24"/>
        </w:rPr>
        <w:t xml:space="preserve">- Взыскатель хочет изменить порядок и способ исполнения решения суда</w:t>
      </w:r>
    </w:p>
    <w:p>
      <w:pPr>
        <w:spacing w:after="120"/>
        <w:ind w:firstLine="709"/>
      </w:pPr>
      <w:r>
        <w:rPr>
          <w:sz w:val="24"/>
        </w:rPr>
        <w:t xml:space="preserve">- Должник хочет получить рассрочку исполнения решения суда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Суд, рассмотревший дело, по заявлениям лиц, участвующих в деле, судебного пристава-исполнителя исходя из имущественного положения сторон или других обстоятельств вправе отсрочить или рассрочить исполнение решения суда, изменить способ и порядок его исполнения.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203</dc:title>
  <dc:creator>АРБИТРАЖ! · arbi.ru</dc:creator>
  <cp:lastModifiedBy>АРБИТРАЖ!</cp:lastModifiedBy>
  <dcterms:created xsi:type="dcterms:W3CDTF">2026-10-22T14:06:16.491Z</dcterms:created>
</cp:coreProperties>
</file>