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суда в пользу нескольких истцов суд указывает, в какой доле оно относится к каждому из них, или указывает, что право взыскания является солидарным.</w:t>
      </w:r>
    </w:p>
    <w:p>
      <w:pPr>
        <w:spacing w:after="120"/>
        <w:ind w:firstLine="709"/>
      </w:pPr>
      <w:r>
        <w:rPr>
          <w:sz w:val="24"/>
        </w:rPr>
        <w:t xml:space="preserve">2. При принятии решения суда против нескольких ответчиков суд указывает, в какой доле каждый из ответчиков должен исполнить решение суда, или указывает, что их ответственность является солидарной.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207</dc:title>
  <dc:creator>АРБИТРАЖ! · arbi.ru</dc:creator>
  <cp:lastModifiedBy>АРБИТРАЖ!</cp:lastModifiedBy>
  <dcterms:created xsi:type="dcterms:W3CDTF">2026-10-22T20:04:12.439Z</dcterms:created>
</cp:coreProperties>
</file>