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может по просьбе истца обратить к немедленному исполнению решение, если вследствие особых обстоятельств замедление его исполнения может привести к значительному ущербу для взыскателя или исполнение может оказаться невозможным. При допущении немедленного исполнения решения суд может потребовать от истца обеспечения поворота его исполнения на случай отмены решения суда. Вопрос о немедленном исполнении решения суда может быть рассмотрен одновременно с принятием решения суда.</w:t>
      </w:r>
    </w:p>
    <w:p>
      <w:pPr>
        <w:spacing w:after="120"/>
        <w:ind w:firstLine="709"/>
      </w:pPr>
      <w:r>
        <w:rPr>
          <w:sz w:val="24"/>
        </w:rPr>
        <w:t xml:space="preserve">1.1. В деле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законами, суд по просьбе истца может обратить решение к немедленному исполнению,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03.08.2018 N 340-ФЗ)</w:t>
      </w:r>
    </w:p>
    <w:p>
      <w:pPr>
        <w:spacing w:after="120"/>
        <w:ind w:firstLine="709"/>
      </w:pPr>
      <w:r>
        <w:rPr>
          <w:sz w:val="24"/>
        </w:rPr>
        <w:t xml:space="preserve">2. Вопрос о допущении немедленного исполнения решения суда разрешается в судебном заседании. Лица, участвующие в деле, извещаются о времени и месте судебного заседания, однако их неявка не является препятствием к разрешению вопроса о немедленном исполнении решения суда.</w:t>
      </w:r>
    </w:p>
    <w:p>
      <w:pPr>
        <w:spacing w:after="120"/>
        <w:ind w:firstLine="709"/>
      </w:pPr>
      <w:r>
        <w:rPr>
          <w:sz w:val="24"/>
        </w:rPr>
        <w:t xml:space="preserve">3. На определение суда о немедленном исполнении решения суда может быть подана частная жалоба. Подача частной жалобы на определение о немедленном исполнении решения суда не приостанавливает исполнение этого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212</dc:title>
  <dc:creator>АРБИТРАЖ! · arbi.ru</dc:creator>
  <cp:lastModifiedBy>АРБИТРАЖ!</cp:lastModifiedBy>
  <dcterms:created xsi:type="dcterms:W3CDTF">2026-10-22T19:03:47.666Z</dcterms:created>
</cp:coreProperties>
</file>