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 При допущении немедленного исполнения решения суд может потребовать от истца обеспечения поворота его исполнения на случай отмены решения суда. Вопрос о немедленном исполнении решения суда может быть рассмотрен одновременно с принятием решения суда.</w:t>
      </w:r>
    </w:p>
    <w:p>
      <w:pPr>
        <w:spacing w:after="120"/>
        <w:ind w:firstLine="709"/>
      </w:pPr>
      <w:r>
        <w:rPr>
          <w:sz w:val="24"/>
        </w:rPr>
        <w:t xml:space="preserve">1.1. В деле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суд по просьбе истца может обратить решение к немедленному исполнению,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2. Вопрос о допущении немедленного исполнения решения суда разрешается в судебном заседании. Лица, участвующие в деле, извещаются о времени и месте судебного заседания, однако их неявка не является препятствием к разрешению вопроса о немедленном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немедленном исполнении решения суда может быть подана частная жалоба. Подача частной жалобы на определение о немедленном исполнении решения суда не приостанавливает исполнение этого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212</dc:title>
  <dc:creator>АРБИТРАЖ! · arbi.ru</dc:creator>
  <cp:lastModifiedBy>АРБИТРАЖ!</cp:lastModifiedBy>
  <dcterms:created xsi:type="dcterms:W3CDTF">2026-10-22T21:56:23.342Z</dcterms:created>
</cp:coreProperties>
</file>