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215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приостановлением производства до разрешения другого дела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приостановлении производства до разрешения другого дела</w:t>
      </w:r>
    </w:p>
    <w:p>
      <w:pPr>
        <w:spacing w:after="120"/>
        <w:ind w:firstLine="709"/>
      </w:pPr>
      <w:r>
        <w:rPr>
          <w:sz w:val="24"/>
        </w:rPr>
        <w:t xml:space="preserve">Суд обязан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смерти гражданина, являющегося стороной в деле или третьим лицом с самостоятельными требованиями, если спорное правоотношение допускает правопреемство;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признания стороны недееспособной или отсутствия законного представителя у лица, признанного недееспособным;</w:t>
      </w:r>
    </w:p>
    <w:p>
      <w:pPr>
        <w:spacing w:after="120"/>
        <w:ind w:firstLine="709"/>
      </w:pPr>
      <w:r>
        <w:rPr>
          <w:sz w:val="24"/>
        </w:rPr>
        <w:t xml:space="preserve">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 , вооруженного конфликта , если такой гражданин не заявил ходатайство о рассмотрении дела в его отсутствие;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603-ФЗ , от 25.12.2023 N 639-ФЗ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невозможности рассмотрения данного дела до разрешения другого дела, рассматриваемого в гражданском, административном или уголовном производстве, а также дела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обращения суда в Конституционный Суд Российской Федерации с запросом о соответствии закона, подлежащего применению, Конституции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поступления по делу, связанному со спором о ребенке, копии определения суда о принятии к производству поданного на основании международного договора Российской Федерации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доступа, если ребенок не достиг возраста, по достижении которого указанный международный договор не подлежит применению в отношении этого ребенка;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02.12.2019 N 406-ФЗ.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215</dc:title>
  <dc:creator>АРБИТРАЖ! · arbi.ru</dc:creator>
  <cp:lastModifiedBy>АРБИТРАЖ!</cp:lastModifiedBy>
  <dcterms:created xsi:type="dcterms:W3CDTF">2026-10-22T20:50:46.880Z</dcterms:created>
</cp:coreProperties>
</file>