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Прекращение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прекращением производства по делу</w:t>
      </w:r>
    </w:p>
    <w:p>
      <w:pPr>
        <w:spacing w:after="120"/>
        <w:ind w:firstLine="709"/>
      </w:pPr>
      <w:r>
        <w:rPr>
          <w:sz w:val="24"/>
        </w:rPr>
        <w:t xml:space="preserve">Производство по делу прекращается определением суда, в котором указывается, что повторное обращение в суд по спору между теми же сторонами, о том же предмете и по тем же основаниям не допускается, за исключением прекращения производства по делу о защите прав и законных интересов группы лиц в порядке, установленном частью седьмой статьи 244.24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221</dc:title>
  <dc:creator>АРБИТРАЖ! · arbi.ru</dc:creator>
  <cp:lastModifiedBy>АРБИТРАЖ!</cp:lastModifiedBy>
  <dcterms:created xsi:type="dcterms:W3CDTF">2026-10-22T16:44:29.952Z</dcterms:created>
</cp:coreProperties>
</file>