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20. Определение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Судебные постановления суда первой инстанции, которыми дело не разрешается по существу, выносятся в форме определений суда. Определения суда выносятся в совещательной комнате в порядке, предусмотренном частью первой статьи 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разрешении несложных вопросов суд или судья может выносить определения, не удаляясь в совещательную комнату. Такие определения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3. Определения суда оглашаются немедленно после их вынесения.</w:t>
      </w:r>
    </w:p>
    <w:p>
      <w:pPr>
        <w:spacing w:after="120"/>
        <w:ind w:firstLine="709"/>
      </w:pPr>
      <w:r>
        <w:rPr>
          <w:sz w:val="24"/>
        </w:rPr>
        <w:t xml:space="preserve">4. Определение суда может быть выполнено в форме электронного документа. При выполнении определения в форме электронного документа дополнительно выполняется экземпляр данного определения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23.06.2016 N 220-ФЗ)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224</dc:title>
  <dc:creator>АРБИТРАЖ! · arbi.ru</dc:creator>
  <cp:lastModifiedBy>АРБИТРАЖ!</cp:lastModifiedBy>
  <dcterms:created xsi:type="dcterms:W3CDTF">2026-10-22T08:50:50.098Z</dcterms:created>
</cp:coreProperties>
</file>