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выявлении случаев нарушения законности суд вправе вынести частное определение и направить его в соответствующие организации или соответствующим должностным лицам, которые обязаны в течение месяца сообщить о принятых ими мерах.</w:t>
      </w:r>
    </w:p>
    <w:p>
      <w:pPr>
        <w:spacing w:after="120"/>
        <w:ind w:firstLine="709"/>
      </w:pPr>
      <w:r>
        <w:rPr>
          <w:sz w:val="24"/>
        </w:rPr>
        <w:t xml:space="preserve">2. В случае несообщения о принятых мерах виновные должностные лица могут быть подвергнуты судебному штрафу в порядке и в размере, которые установлены главой 8 настоящего Кодекса. Наложение штрафа не освобождает соответствующих должностных лиц от обязанности сообщить о мерах, принятых по частному определению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рассмотрении дела суд обнаружит в действиях стороны, других участников процесса, должностного или иного лица признаки преступления, суд сообщает об этом в органы дознания или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226</dc:title>
  <dc:creator>АРБИТРАЖ! · arbi.ru</dc:creator>
  <cp:lastModifiedBy>АРБИТРАЖ!</cp:lastModifiedBy>
  <dcterms:created xsi:type="dcterms:W3CDTF">2026-10-22T20:38:08.193Z</dcterms:created>
</cp:coreProperties>
</file>