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Протоколы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ходе каждого судебного заседания судов первой и апелляционной инстанций (включая предварительное судебное заседание), а также при совершении вне судебного заседания отдельного процессуального действия ведется протоколирование с использованием средств аудиозаписи (аудиопротоколирование) и составляется протокол в письменной форме (далее также - протокол).</w:t>
      </w:r>
    </w:p>
    <w:p>
      <w:pPr>
        <w:spacing w:after="120"/>
        <w:ind w:firstLine="709"/>
      </w:pPr>
      <w:r>
        <w:rPr>
          <w:sz w:val="24"/>
        </w:rPr>
        <w:t xml:space="preserve">2. Аудиопротоколирование не ведется при рассмотрении дела в закрытом судебном заседании, в случае неявки в судебное заседание или в место совершения отдельного процессуального действия участвующих в деле лиц, а также в случае рассмотрения дела (заявления, ходатайства) или совершения отдельного процессуального действия без извещения участвующих в деле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228</dc:title>
  <dc:creator>АРБИТРАЖ! · arbi.ru</dc:creator>
  <cp:lastModifiedBy>АРБИТРАЖ!</cp:lastModifiedBy>
  <dcterms:created xsi:type="dcterms:W3CDTF">2026-10-22T22:28:06.433Z</dcterms:created>
</cp:coreProperties>
</file>