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244.14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22.2. Производство по рассмотрению заявлений о возвращении ребенка или об осуществлении в отношении ребенка прав доступа на основании международного договора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126-ФЗ)</w:t>
      </w:r>
    </w:p>
    <w:p>
      <w:pPr>
        <w:spacing w:after="120"/>
        <w:ind w:firstLine="709"/>
      </w:pPr>
      <w:r>
        <w:rPr>
          <w:sz w:val="24"/>
        </w:rPr>
        <w:t xml:space="preserve">Соединение нескольких исковых требований, за исключением случая объединения истцом требований о возвращении двух и более детей, незаконно перемещенных в Российскую Федерацию или удерживаемых в Российской Федерации, или об осуществлении в отношении двух и более детей прав доступа на основании международного договора Российской Федерации, и предъявление встречного иска по делу о возвращении ребенка или об осуществлении прав доступа не допускаются.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244.14</dc:title>
  <dc:creator>АРБИТРАЖ! · arbi.ru</dc:creator>
  <cp:lastModifiedBy>АРБИТРАЖ!</cp:lastModifiedBy>
  <dcterms:created xsi:type="dcterms:W3CDTF">2026-10-22T14:06:21.931Z</dcterms:created>
</cp:coreProperties>
</file>