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244.20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22.3. Рассмотрение дел о защите прав и законных интересов группы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18.07.2019 N 191-ФЗ)</w:t>
      </w:r>
    </w:p>
    <w:p>
      <w:pPr>
        <w:spacing w:after="120"/>
        <w:ind w:firstLine="709"/>
      </w:pPr>
      <w:r>
        <w:rPr>
          <w:sz w:val="24"/>
        </w:rPr>
        <w:t xml:space="preserve">1. Гражданин или организация вправе обратиться в суд в защиту прав и законных интересов группы лиц при наличии совокупности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имеется общий по отношению к каждому члену группы лиц ответчик;</w:t>
      </w:r>
    </w:p>
    <w:p>
      <w:pPr>
        <w:spacing w:after="120"/>
        <w:ind w:firstLine="709"/>
      </w:pPr>
      <w:r>
        <w:rPr>
          <w:sz w:val="24"/>
        </w:rPr>
        <w:t xml:space="preserve">2) предметом спора являются общие либо однородные права и законные интересы членов группы лиц;</w:t>
      </w:r>
    </w:p>
    <w:p>
      <w:pPr>
        <w:spacing w:after="120"/>
        <w:ind w:firstLine="709"/>
      </w:pPr>
      <w:r>
        <w:rPr>
          <w:sz w:val="24"/>
        </w:rPr>
        <w:t xml:space="preserve">3) в основании прав членов группы лиц и обязанностей ответчика лежат схожие фактические обстоятельства;</w:t>
      </w:r>
    </w:p>
    <w:p>
      <w:pPr>
        <w:spacing w:after="120"/>
        <w:ind w:firstLine="709"/>
      </w:pPr>
      <w:r>
        <w:rPr>
          <w:sz w:val="24"/>
        </w:rPr>
        <w:t xml:space="preserve">4) использование всеми членами группы лиц одинакового способа защиты своих прав.</w:t>
      </w:r>
    </w:p>
    <w:p>
      <w:pPr>
        <w:spacing w:after="120"/>
        <w:ind w:firstLine="709"/>
      </w:pPr>
      <w:r>
        <w:rPr>
          <w:sz w:val="24"/>
        </w:rPr>
        <w:t xml:space="preserve">2. Под членами группы лиц в настоящей главе понимаются граждане и организации, отвечающие совокупности условий, указанных в части первой настоящей статьи, независимо от присоединения их к требованию о защите прав и законных интересов группы лиц.</w:t>
      </w:r>
    </w:p>
    <w:p>
      <w:pPr>
        <w:spacing w:after="120"/>
        <w:ind w:firstLine="709"/>
      </w:pPr>
      <w:r>
        <w:rPr>
          <w:sz w:val="24"/>
        </w:rPr>
        <w:t xml:space="preserve">3. В защиту прав и законных интересов группы лиц могут обратиться гражданин и организация, являющиеся членами этой группы лиц.</w:t>
      </w:r>
    </w:p>
    <w:p>
      <w:pPr>
        <w:spacing w:after="120"/>
        <w:ind w:firstLine="709"/>
      </w:pPr>
      <w:r>
        <w:rPr>
          <w:sz w:val="24"/>
        </w:rPr>
        <w:t xml:space="preserve">4. В установленных федеральными законами случаях в защиту прав и законных интересов группы лиц также могут обратиться орган, организация и гражданин, не являющиеся членами этой группы лиц.</w:t>
      </w:r>
    </w:p>
    <w:p>
      <w:pPr>
        <w:spacing w:after="120"/>
        <w:ind w:firstLine="709"/>
      </w:pPr>
      <w:r>
        <w:rPr>
          <w:sz w:val="24"/>
        </w:rPr>
        <w:t xml:space="preserve">5. Рассмотрение дела о защите прав и законных интересов группы лиц по правилам, установленным настоящей главой, допускается в случае, если ко дню обращения в суд лиц, указанных в частях третьей и четвертой настоящей статьи, к требованию о защите прав и законных интересов этой группы лиц присоединились не менее двадцати лиц - членов группы лиц.</w:t>
      </w:r>
    </w:p>
    <w:p>
      <w:pPr>
        <w:spacing w:after="120"/>
        <w:ind w:firstLine="709"/>
      </w:pPr>
      <w:r>
        <w:rPr>
          <w:sz w:val="24"/>
        </w:rPr>
        <w:t xml:space="preserve">6. Присоединение члена группы лиц к требованию о защите прав и законных интересов этой группы лиц осуществляется путем подачи в письменной форме заявления о присоединении к требованию о защите прав и законных интересов группы лиц лицу, указанному в части третьей или четвертой настоящей статьи, либо непосредственно в суд, если член группы лиц присоединяется к требованию после принятия искового заявления в защиту прав и законных интересов группы лиц к производству суда. Присоединение к требованию о защите прав и законных интересов группы лиц возможно до перехода суда к судебным прениям. Такое заявление и прилагаемые к нему документы могут быть представлены в суд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244.20</dc:title>
  <dc:creator>АРБИТРАЖ! · arbi.ru</dc:creator>
  <cp:lastModifiedBy>АРБИТРАЖ!</cp:lastModifiedBy>
  <dcterms:created xsi:type="dcterms:W3CDTF">2026-10-22T20:12:36.685Z</dcterms:created>
</cp:coreProperties>
</file>