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Гражданин или организация вправе обратиться в суд в защиту прав и законных интересов группы лиц при наличии совокупности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имеется общий по отношению к каждому члену группы лиц ответчик;</w:t>
      </w:r>
    </w:p>
    <w:p>
      <w:pPr>
        <w:spacing w:after="120"/>
        <w:ind w:firstLine="709"/>
      </w:pPr>
      <w:r>
        <w:rPr>
          <w:sz w:val="24"/>
        </w:rPr>
        <w:t xml:space="preserve">2) предметом спора являются общие либо однородные права и законные интересы членов группы лиц;</w:t>
      </w:r>
    </w:p>
    <w:p>
      <w:pPr>
        <w:spacing w:after="120"/>
        <w:ind w:firstLine="709"/>
      </w:pPr>
      <w:r>
        <w:rPr>
          <w:sz w:val="24"/>
        </w:rPr>
        <w:t xml:space="preserve">3) в основании прав членов группы лиц и обязанностей ответчика лежат схожие фактические обстоятельства;</w:t>
      </w:r>
    </w:p>
    <w:p>
      <w:pPr>
        <w:spacing w:after="120"/>
        <w:ind w:firstLine="709"/>
      </w:pPr>
      <w:r>
        <w:rPr>
          <w:sz w:val="24"/>
        </w:rPr>
        <w:t xml:space="preserve">4) использование всеми членами группы лиц одинакового способа защиты своих прав.</w:t>
      </w:r>
    </w:p>
    <w:p>
      <w:pPr>
        <w:spacing w:after="120"/>
        <w:ind w:firstLine="709"/>
      </w:pPr>
      <w:r>
        <w:rPr>
          <w:sz w:val="24"/>
        </w:rPr>
        <w:t xml:space="preserve">2. Под членами группы лиц в настоящей главе понимаются граждане и организации, отвечающие совокупности условий, указанных в части первой настоящей статьи, независимо от присоединения их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3. В защиту прав и законных интересов группы лиц могут обратиться гражданин и организация,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4. В установленных федеральными законами случаях в защиту прав и законных интересов группы лиц также могут обратиться орган, организация и гражданин, не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5. Рассмотрение дела о защите прав и законных интересов группы лиц по правилам, установленным настоящей главой, допускается в случае, если ко дню обращения в суд лиц, указанных в частях третьей и четвертой настоящей статьи, к требованию о защите прав и законных интересов этой группы лиц присоединились не менее двадцати лиц - членов группы лиц.</w:t>
      </w:r>
    </w:p>
    <w:p>
      <w:pPr>
        <w:spacing w:after="120"/>
        <w:ind w:firstLine="709"/>
      </w:pPr>
      <w:r>
        <w:rPr>
          <w:sz w:val="24"/>
        </w:rPr>
        <w:t xml:space="preserve">6.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лицу, указанному в части третьей или четвертой настоящей статьи, либо непосредственно в суд, если член группы лиц присоединяется к требованию после принятия искового заявления в защиту прав и законных интересов группы лиц к производству суда. Присоединение к требованию о защите прав и законных интересов группы лиц возможно до перехода суда к судебным прениям. Такое заявление и прилагаемые к нему документы могут быть представлены в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244.20</dc:title>
  <dc:creator>АРБИТРАЖ! · arbi.ru</dc:creator>
  <cp:lastModifiedBy>АРБИТРАЖ!</cp:lastModifiedBy>
  <dcterms:created xsi:type="dcterms:W3CDTF">2026-10-22T21:10:56.497Z</dcterms:created>
</cp:coreProperties>
</file>