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22.3.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Лицо, присоединившееся к требованию о защите прав и законных интересов группы лиц, имеет право:</w:t>
      </w:r>
    </w:p>
    <w:p>
      <w:pPr>
        <w:spacing w:after="120"/>
        <w:ind w:firstLine="709"/>
      </w:pPr>
      <w:r>
        <w:rPr>
          <w:sz w:val="24"/>
        </w:rPr>
        <w:t xml:space="preserve">1) знакомиться с материалами дела, делать выписки из них, снимать копии;</w:t>
      </w:r>
    </w:p>
    <w:p>
      <w:pPr>
        <w:spacing w:after="120"/>
        <w:ind w:firstLine="709"/>
      </w:pPr>
      <w:r>
        <w:rPr>
          <w:sz w:val="24"/>
        </w:rPr>
        <w:t xml:space="preserve">2) ходатайствовать в суде о замене лица, которое ведет дело в интересах группы лиц, в том числе после принятия судебного акта, которым заканчивается рассмотрение дела по существу;</w:t>
      </w:r>
    </w:p>
    <w:p>
      <w:pPr>
        <w:spacing w:after="120"/>
        <w:ind w:firstLine="709"/>
      </w:pPr>
      <w:r>
        <w:rPr>
          <w:sz w:val="24"/>
        </w:rPr>
        <w:t xml:space="preserve">3) присутствовать в судебном заседании, в том числе если оно объявлено закрытым;</w:t>
      </w:r>
    </w:p>
    <w:p>
      <w:pPr>
        <w:spacing w:after="120"/>
        <w:ind w:firstLine="709"/>
      </w:pPr>
      <w:r>
        <w:rPr>
          <w:sz w:val="24"/>
        </w:rPr>
        <w:t xml:space="preserve">4) отказаться от поданного им заявления о присоединении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2. Члены группы лиц, несогласные с предъявленным требованием о защите прав и законных интересов группы лиц, вправе вступить в дело в качестве третьих лиц, не заявляющих самостоятельных требований относительно предмета спора.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244.23</dc:title>
  <dc:creator>АРБИТРАЖ! · arbi.ru</dc:creator>
  <cp:lastModifiedBy>АРБИТРАЖ!</cp:lastModifiedBy>
  <dcterms:created xsi:type="dcterms:W3CDTF">2026-10-22T09:06:19.411Z</dcterms:created>
</cp:coreProperties>
</file>