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265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28. Установление фактов, имеющих юридическое значение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265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установить факт, имеющий юридическое значение</w:t>
      </w:r>
    </w:p>
    <w:p>
      <w:pPr>
        <w:spacing w:after="120"/>
        <w:ind w:firstLine="709"/>
      </w:pPr>
      <w:r>
        <w:rPr>
          <w:sz w:val="24"/>
        </w:rPr>
        <w:t xml:space="preserve">Суд устанавливает факты, имеющие юридическое значение, только при невозможности получения заявителем в ином порядке надлежащих документов, удостоверяющих эти факты, или при невозможности восстановления утраченных документов.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265</dc:title>
  <dc:creator>АРБИТРАЖ! · arbi.ru</dc:creator>
  <cp:lastModifiedBy>АРБИТРАЖ!</cp:lastModifiedBy>
  <dcterms:created xsi:type="dcterms:W3CDTF">2026-10-23T00:19:52.588Z</dcterms:created>
</cp:coreProperties>
</file>