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28. Установление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266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установить факт, имеющий юридическое значение</w:t>
      </w:r>
    </w:p>
    <w:p>
      <w:pPr>
        <w:spacing w:after="120"/>
        <w:ind w:firstLine="709"/>
      </w:pPr>
      <w:r>
        <w:rPr>
          <w:sz w:val="24"/>
        </w:rPr>
        <w:t xml:space="preserve">Заявление об установлении факта, имеющего юридическое значение, подается в суд по месту жительства заявителя, за исключением заявления об установлении факта владения и пользования недвижимым имуществом, которое подается в суд по месту нахождения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266</dc:title>
  <dc:creator>АРБИТРАЖ! · arbi.ru</dc:creator>
  <cp:lastModifiedBy>АРБИТРАЖ!</cp:lastModifiedBy>
  <dcterms:created xsi:type="dcterms:W3CDTF">2026-10-22T23:02:57.805Z</dcterms:created>
</cp:coreProperties>
</file>