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29. Усыновление (удочерение) ребенка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усыновлении или удочерении (далее - усыновление) подается гражданами Российской Федерации, желающими усыновить ребенка, в районный суд по месту жительства или месту нахождения усыновляемого ребенка.</w:t>
      </w:r>
    </w:p>
    <w:p>
      <w:pPr>
        <w:spacing w:after="120"/>
        <w:ind w:firstLine="709"/>
      </w:pPr>
      <w:r>
        <w:rPr>
          <w:sz w:val="24"/>
        </w:rPr>
        <w:t xml:space="preserve">2. Граждане Российской Федерации, постоянно проживающие за пределами территории Российской Федерации, иностранные граждане или лица без гражданства, желающие усыновить ребенка, являющегося гражданином Российской Федерации, подают заявление об усыновлении соответственно в верховный суд республики, краевой, областной суд, суд города федерального значения, суд автономной области и суд автономного округа по месту жительства или месту нахождения усыновляемого ребенка.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269</dc:title>
  <dc:creator>АРБИТРАЖ! · arbi.ru</dc:creator>
  <cp:lastModifiedBy>АРБИТРАЖ!</cp:lastModifiedBy>
  <dcterms:created xsi:type="dcterms:W3CDTF">2026-10-23T00:19:25.839Z</dcterms:created>
</cp:coreProperties>
</file>