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Признание гражданина безвестно отсутствующим или объявление гражданина умершим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277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объявить гражданина умершим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гражданина безвестно отсутствующим</w:t>
      </w:r>
    </w:p>
    <w:p>
      <w:pPr>
        <w:spacing w:after="120"/>
        <w:ind w:firstLine="709"/>
      </w:pPr>
      <w:r>
        <w:rPr>
          <w:sz w:val="24"/>
        </w:rPr>
        <w:t xml:space="preserve">В заявлении о признании гражданина безвестно отсутствующим или об объявлении гражданина умершим должно быть указано, для какой цели необходимо заявителю признать гражданина безвестно отсутствующим или объявить его умершим, а также должны быть изложены обстоятельства, подтверждающие безвестное отсутствие гражданина, либо обстоятельства, угрожавшие пропавшему без вести смертью или дающие основание предполагать его гибель от определенного несчастного случая.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14.04.2023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277</dc:title>
  <dc:creator>АРБИТРАЖ! · arbi.ru</dc:creator>
  <cp:lastModifiedBy>АРБИТРАЖ!</cp:lastModifiedBy>
  <dcterms:created xsi:type="dcterms:W3CDTF">2026-10-22T21:57:28.763Z</dcterms:created>
</cp:coreProperties>
</file>