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Признание гражданина безвестно отсутствующим или объявление гражданина умершим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при подготовке дела к судебному разбирательству выясняет, кто может сообщить сведения об отсутствующем гражданине, а также запрашивает соответствующие организации по последнему известному месту жительства, месту работы отсутствующего гражданина, органы внутренних дел, службу судебных приставов, воинские части об имеющихся о нем сведениях.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07.03.2018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принятия заявления о признании гражданина безвестно отсутствующим или об объявлении гражданина умершим судья может предложить органу опеки и попечительства назначить доверительного управляющего имуществом такого гражданина.</w:t>
      </w:r>
    </w:p>
    <w:p>
      <w:pPr>
        <w:spacing w:after="120"/>
        <w:ind w:firstLine="709"/>
      </w:pPr>
      <w:r>
        <w:rPr>
          <w:sz w:val="24"/>
        </w:rPr>
        <w:t xml:space="preserve">3. Дела о признании гражданина безвестно отсутствующим или об объявлении гражданина умершим рассматриваются с участием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278</dc:title>
  <dc:creator>АРБИТРАЖ! · arbi.ru</dc:creator>
  <cp:lastModifiedBy>АРБИТРАЖ!</cp:lastModifiedBy>
  <dcterms:created xsi:type="dcterms:W3CDTF">2026-10-22T13:59:39.147Z</dcterms:created>
</cp:coreProperties>
</file>