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Признание гражданина безвестно отсутствующим или объявление гражданина умершим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 о признании гражданина безвестно отсутствующим является основанием для передачи его имущества лицу, с которым орган опеки и попечительства заключает договор доверительного управления этим имуществом при необходимости постоянного управления им.</w:t>
      </w:r>
    </w:p>
    <w:p>
      <w:pPr>
        <w:spacing w:after="120"/>
        <w:ind w:firstLine="709"/>
      </w:pPr>
      <w:r>
        <w:rPr>
          <w:sz w:val="24"/>
        </w:rPr>
        <w:t xml:space="preserve">2. Решение суда, которым гражданин объявлен умершим, является основанием для составления органом, осуществляющим государственную регистрацию актов гражданского состояния в соответствии с Федеральным законом от 15 ноября 1997 года N 143-ФЗ "Об актах гражданского состояния", соответствующей записи о смерти.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27.01.2023 N 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279</dc:title>
  <dc:creator>АРБИТРАЖ! · arbi.ru</dc:creator>
  <cp:lastModifiedBy>АРБИТРАЖ!</cp:lastModifiedBy>
  <dcterms:created xsi:type="dcterms:W3CDTF">2026-10-22T20:50:51.877Z</dcterms:created>
</cp:coreProperties>
</file>