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289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32. Объявление несовершеннолетнего полностью дееспособным (эмансипация)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Суд, рассмотрев по существу заявление об объявлении несовершеннолетнего полностью дееспособным, принимает решение, которым удовлетворяет или отклоняет просьбу заявителя.</w:t>
      </w:r>
    </w:p>
    <w:p>
      <w:pPr>
        <w:spacing w:after="120"/>
        <w:ind w:firstLine="709"/>
      </w:pPr>
      <w:r>
        <w:rPr>
          <w:sz w:val="24"/>
        </w:rPr>
        <w:t xml:space="preserve">2. При удовлетворении заявленной просьбы несовершеннолетний, достигший возраста шестнадцати лет, объявляется полностью дееспособным (эмансипированным) со дня вступления в законную силу решения суда об эмансипации.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289</dc:title>
  <dc:creator>АРБИТРАЖ! · arbi.ru</dc:creator>
  <cp:lastModifiedBy>АРБИТРАЖ!</cp:lastModifiedBy>
  <dcterms:created xsi:type="dcterms:W3CDTF">2026-10-22T20:05:01.695Z</dcterms:created>
</cp:coreProperties>
</file>