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291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33. Признание движимой вещи бесхозяйной и признание права собственности на бесхозяйную недвижимую вещь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291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признать право муниципальной собственности на бесхозяйную недвижимость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признать право собственности на движимую вещь, которую считает бесхозяйной</w:t>
      </w:r>
    </w:p>
    <w:p>
      <w:pPr>
        <w:spacing w:after="120"/>
        <w:ind w:firstLine="709"/>
      </w:pPr>
      <w:r>
        <w:rPr>
          <w:sz w:val="24"/>
        </w:rPr>
        <w:t xml:space="preserve">1. В заявлении о признании движимой вещи бесхозяйной должно быть указано, какая движимая вещь подлежит признанию бесхозяйной, должны быть описаны ее основные признаки, а также приведены доказательства, свидетельствующие об отказе собственника от права собственности на нее, и доказательства, свидетельствующие о вступлении заявителя во владение этой вещью.</w:t>
      </w:r>
    </w:p>
    <w:p>
      <w:pPr>
        <w:spacing w:after="120"/>
        <w:ind w:firstLine="709"/>
      </w:pPr>
      <w:r>
        <w:rPr>
          <w:sz w:val="24"/>
        </w:rPr>
        <w:t xml:space="preserve">2. В заявлении органа, уполномоченного управлять муниципальным имуществом или имуществом, находящимся в собственности города федерального значения Москвы, Санкт-Петербурга или Севастополя, или лица, обязанного в соответствии с законом осуществлять эксплуатацию линейных объектов, о признании права собственности на бесхозяйную недвижимую вещь должно быть указано, кем, когда недвижимая вещь поставлена на учет, а также должны быть приведены доказательства, свидетельствующие об отсутствии ее собственника.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27.06.2018 N 158-ФЗ , от 31.07.2025 N 344-ФЗ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291</dc:title>
  <dc:creator>АРБИТРАЖ! · arbi.ru</dc:creator>
  <cp:lastModifiedBy>АРБИТРАЖ!</cp:lastModifiedBy>
  <dcterms:created xsi:type="dcterms:W3CDTF">2026-10-22T09:05:49.891Z</dcterms:created>
</cp:coreProperties>
</file>