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33. Признание движимой вещи бесхозяйной и признание права собственности на бесхозяйную недвижимую вещь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при подготовке дела к судебному разбирательству выясняет, какие лица (собственники, фактические владельцы и другие) могут дать сведения о принадлежности имущества, а также запрашивает об имеющихся о нем сведениях соответствующие организации.</w:t>
      </w:r>
    </w:p>
    <w:p>
      <w:pPr>
        <w:spacing w:after="120"/>
        <w:ind w:firstLine="709"/>
      </w:pPr>
      <w:r>
        <w:rPr>
          <w:sz w:val="24"/>
        </w:rPr>
        <w:t xml:space="preserve">2. Заявление о признании вещи бесхозяйной или о признании права собственности на бесхозяйную недвижимую вещь рассматривается судом с участием заинтересованных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292</dc:title>
  <dc:creator>АРБИТРАЖ! · arbi.ru</dc:creator>
  <cp:lastModifiedBy>АРБИТРАЖ!</cp:lastModifiedBy>
  <dcterms:created xsi:type="dcterms:W3CDTF">2026-10-22T21:57:30.264Z</dcterms:created>
</cp:coreProperties>
</file>