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33. Признание движимой вещи бесхозяйной и признание права собственности на бесхозяйную недвижимую вещь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293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муниципальной собственности на бесхозяйную недвижимость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собственности на движимую вещь, которую считает бесхозяйной</w:t>
      </w:r>
    </w:p>
    <w:p>
      <w:pPr>
        <w:spacing w:after="120"/>
        <w:ind w:firstLine="709"/>
      </w:pPr>
      <w:r>
        <w:rPr>
          <w:sz w:val="24"/>
        </w:rPr>
        <w:t xml:space="preserve">1. Суд, признав, что собственник отказался от права собственности на движимую вещь, принимает решение о признании движимой вещи бесхозяйной и передаче ее в собственность лица, вступившего во владение ею.</w:t>
      </w:r>
    </w:p>
    <w:p>
      <w:pPr>
        <w:spacing w:after="120"/>
        <w:ind w:firstLine="709"/>
      </w:pPr>
      <w:r>
        <w:rPr>
          <w:sz w:val="24"/>
        </w:rPr>
        <w:t xml:space="preserve">2. Суд, признав, что недвижимая вещь не имеет собственника или собственник недвижимой вещи неизвестен и она принята на учет в установленном порядке, принимает решение о признании права муниципальной собственности либо собственности города федерального значения Москвы, Санкт-Петербурга или Севастополя либо лица, обязанного в соответствии с законом осуществлять эксплуатацию линейных объектов, на эту вещь.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27.06.2018 N 158-ФЗ , от 31.07.2025 N 344-ФЗ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293</dc:title>
  <dc:creator>АРБИТРАЖ! · arbi.ru</dc:creator>
  <cp:lastModifiedBy>АРБИТРАЖ!</cp:lastModifiedBy>
  <dcterms:created xsi:type="dcterms:W3CDTF">2026-10-22T22:43:49.778Z</dcterms:created>
</cp:coreProperties>
</file>