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297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недействительными утраченные ценные бумаги и восстановить права по ним</w:t>
      </w:r>
    </w:p>
    <w:p>
      <w:pPr>
        <w:spacing w:after="120"/>
        <w:ind w:firstLine="709"/>
      </w:pPr>
      <w:r>
        <w:rPr>
          <w:sz w:val="24"/>
        </w:rPr>
        <w:t xml:space="preserve">Держатель документа, об утрате которого заявлено, обязан до истечения трех месяцев со дня опубликования указанных в части первой статьи 296 настоящего Кодекса сведений подать в суд, вынесший определение, заявление о своих правах на документ и представить при этом подлинные документы.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297</dc:title>
  <dc:creator>АРБИТРАЖ! · arbi.ru</dc:creator>
  <cp:lastModifiedBy>АРБИТРАЖ!</cp:lastModifiedBy>
  <dcterms:created xsi:type="dcterms:W3CDTF">2026-10-22T14:06:47.818Z</dcterms:created>
</cp:coreProperties>
</file>