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недействительными утраченные ценные бумаги и восстановить права по ним</w:t>
      </w:r>
    </w:p>
    <w:p>
      <w:pPr>
        <w:spacing w:after="120"/>
        <w:ind w:firstLine="709"/>
      </w:pPr>
      <w:r>
        <w:rPr>
          <w:sz w:val="24"/>
        </w:rPr>
        <w:t xml:space="preserve">Дело о признании недействительными утраченных ценной бумаги на предъявителя или ордерной ценной бумаги и о восстановлении прав по ним суд рассматривает по истечении трех месяцев со дня опубликования указанных в части первой статьи 296 настоящего Кодекса сведений, если от держателя документа не поступило заявление, указанное в статье 297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299</dc:title>
  <dc:creator>АРБИТРАЖ! · arbi.ru</dc:creator>
  <cp:lastModifiedBy>АРБИТРАЖ!</cp:lastModifiedBy>
  <dcterms:created xsi:type="dcterms:W3CDTF">2026-10-22T20:12:43.240Z</dcterms:created>
</cp:coreProperties>
</file>