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301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34. Восстановление прав по утраченным ценным бумагам на предъявителя или ордерным ценным бумагам (вызывное производство)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Держатель документа, не заявивший по каким-либо причинам своевременно о своих правах на этот документ, после вступления в законную силу решения суда о признании документа недействительным и о восстановлении прав по утраченным ценной бумаге на предъявителя или ордерной ценной бумаге может предъявить к лицу, за которым признано право на получение нового документа взамен утраченного документа, иск о неосновательном приобретении или сбережении имущества.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301</dc:title>
  <dc:creator>АРБИТРАЖ! · arbi.ru</dc:creator>
  <cp:lastModifiedBy>АРБИТРАЖ!</cp:lastModifiedBy>
  <dcterms:created xsi:type="dcterms:W3CDTF">2026-10-22T23:04:00.099Z</dcterms:created>
</cp:coreProperties>
</file>