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315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38. Восстановление утраченного судебного производства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При отсутствии указания в заявлении о восстановлении утраченного судебного производства соответствующей цели обращения суд оставляет заявление без движения и предоставляет срок, необходимый для изложения цели заявителем.</w:t>
      </w:r>
    </w:p>
    <w:p>
      <w:pPr>
        <w:spacing w:after="120"/>
        <w:ind w:firstLine="709"/>
      </w:pPr>
      <w:r>
        <w:rPr>
          <w:sz w:val="24"/>
        </w:rPr>
        <w:t xml:space="preserve">2. В случае, если указанная заявителем цель обращения не связана с защитой его прав и законных интересов, суд отказывает в возбуждении дела о восстановлении утраченного судебного производства или мотивированным определением оставляет заявление без рассмотрения, если дело было возбуждено.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315</dc:title>
  <dc:creator>АРБИТРАЖ! · arbi.ru</dc:creator>
  <cp:lastModifiedBy>АРБИТРАЖ!</cp:lastModifiedBy>
  <dcterms:created xsi:type="dcterms:W3CDTF">2026-10-22T20:04:52.142Z</dcterms:created>
</cp:coreProperties>
</file>