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производство, утраченное до рассмотрения дела по существу, не подлежит восстановлению. Истец в этом случае вправе предъявить новый иск. В определении суда о возбуждении дела по новому иску в связи с утратой судебного производства данное обстоятельство должно быть обязательно отражено.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по новому иску суд использует сохранившиеся части судебного производства, документы, выданные гражданам, организациям из дела до утраты производства, копии этих документов, другие документы, имеющие отношение к делу.</w:t>
      </w:r>
    </w:p>
    <w:p>
      <w:pPr>
        <w:spacing w:after="120"/>
        <w:ind w:firstLine="709"/>
      </w:pPr>
      <w:r>
        <w:rPr>
          <w:sz w:val="24"/>
        </w:rPr>
        <w:t xml:space="preserve">Суд может допросить в качестве свидетелей лиц, присутствовавших при совершении процессуальных действий, в необходимых случаях судей, рассматривавших дело, по которому утрачено производство, а также лиц, исполнявших решение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316</dc:title>
  <dc:creator>АРБИТРАЖ! · arbi.ru</dc:creator>
  <cp:lastModifiedBy>АРБИТРАЖ!</cp:lastModifiedBy>
  <dcterms:created xsi:type="dcterms:W3CDTF">2026-10-22T14:06:39.082Z</dcterms:created>
</cp:coreProperties>
</file>